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29C1" w14:textId="57FB6FB1" w:rsidR="002E2B85" w:rsidRPr="002E2B85" w:rsidRDefault="002E2B85" w:rsidP="002E2B85">
      <w:pPr>
        <w:rPr>
          <w:b/>
          <w:bCs/>
        </w:rPr>
      </w:pPr>
      <w:r w:rsidRPr="002E2B85">
        <w:rPr>
          <w:b/>
          <w:bCs/>
        </w:rPr>
        <w:t>CM 920 TECHNICAL DATA SHEET</w:t>
      </w:r>
    </w:p>
    <w:p w14:paraId="089ACAA7" w14:textId="77777777" w:rsidR="002E2B85" w:rsidRPr="002E2B85" w:rsidRDefault="002E2B85" w:rsidP="002E2B85">
      <w:r w:rsidRPr="002E2B85">
        <w:pict w14:anchorId="00F92C30">
          <v:rect id="_x0000_i1025" style="width:0;height:1.5pt" o:hralign="center" o:hrstd="t" o:hr="t" fillcolor="#a0a0a0" stroked="f"/>
        </w:pict>
      </w:r>
    </w:p>
    <w:p w14:paraId="355D0DC2" w14:textId="45B550C7" w:rsidR="002E2B85" w:rsidRPr="002E2B85" w:rsidRDefault="002E2B85" w:rsidP="002E2B85">
      <w:r w:rsidRPr="002E2B85">
        <w:rPr>
          <w:b/>
          <w:bCs/>
        </w:rPr>
        <w:t>CM 920 Industrial</w:t>
      </w:r>
      <w:r w:rsidRPr="002E2B85">
        <w:br/>
        <w:t>CM 920 Industrial is a pumpable self-levelling compound.</w:t>
      </w:r>
      <w:r w:rsidRPr="002E2B85">
        <w:br/>
      </w:r>
      <w:r w:rsidRPr="002E2B85">
        <w:rPr>
          <w:b/>
          <w:bCs/>
        </w:rPr>
        <w:t>INDUSTR</w:t>
      </w:r>
      <w:r>
        <w:rPr>
          <w:b/>
          <w:bCs/>
        </w:rPr>
        <w:t>IAL</w:t>
      </w:r>
      <w:r w:rsidRPr="002E2B85">
        <w:rPr>
          <w:b/>
          <w:bCs/>
        </w:rPr>
        <w:t xml:space="preserve"> – PUMPABLE – DURABLE</w:t>
      </w:r>
      <w:r w:rsidRPr="002E2B85">
        <w:br/>
      </w:r>
      <w:r w:rsidRPr="002E2B85">
        <w:rPr>
          <w:b/>
          <w:bCs/>
        </w:rPr>
        <w:t>Date:</w:t>
      </w:r>
      <w:r w:rsidRPr="002E2B85">
        <w:t xml:space="preserve"> March 1, 2024</w:t>
      </w:r>
      <w:r w:rsidRPr="002E2B85">
        <w:br/>
      </w:r>
      <w:r w:rsidRPr="002E2B85">
        <w:rPr>
          <w:b/>
          <w:bCs/>
        </w:rPr>
        <w:t>Combimix AB</w:t>
      </w:r>
      <w:r w:rsidRPr="002E2B85">
        <w:t xml:space="preserve"> • Verkstadsvägen 6 • SE-746 40 Bålsta, Sweden • Tel. +46 (0)171-46 65 90 • </w:t>
      </w:r>
      <w:hyperlink r:id="rId5" w:history="1">
        <w:r w:rsidRPr="002E2B85">
          <w:rPr>
            <w:rStyle w:val="Hyperlink"/>
          </w:rPr>
          <w:t>info@combimix.com</w:t>
        </w:r>
      </w:hyperlink>
    </w:p>
    <w:p w14:paraId="4DE5A1F1" w14:textId="77777777" w:rsidR="002E2B85" w:rsidRPr="002E2B85" w:rsidRDefault="002E2B85" w:rsidP="002E2B85">
      <w:r w:rsidRPr="002E2B85">
        <w:pict w14:anchorId="7220DDD7">
          <v:rect id="_x0000_i1026" style="width:0;height:1.5pt" o:hralign="center" o:hrstd="t" o:hr="t" fillcolor="#a0a0a0" stroked="f"/>
        </w:pict>
      </w:r>
    </w:p>
    <w:p w14:paraId="7D828BEA" w14:textId="77777777" w:rsidR="002E2B85" w:rsidRPr="002E2B85" w:rsidRDefault="002E2B85" w:rsidP="002E2B85">
      <w:pPr>
        <w:rPr>
          <w:b/>
          <w:bCs/>
        </w:rPr>
      </w:pPr>
      <w:r w:rsidRPr="002E2B85">
        <w:rPr>
          <w:b/>
          <w:bCs/>
        </w:rPr>
        <w:t>Area of use</w:t>
      </w:r>
    </w:p>
    <w:p w14:paraId="143E8965" w14:textId="073294BB" w:rsidR="002E2B85" w:rsidRPr="002E2B85" w:rsidRDefault="002E2B85" w:rsidP="002E2B85">
      <w:r w:rsidRPr="002E2B85">
        <w:t>The product is intended for indoor use on substrates of concrete. The product may be used as a wear surface in industrial use and as a self-leveling underlayment for epoxy and polyurethane</w:t>
      </w:r>
      <w:r>
        <w:t xml:space="preserve">, and traffic coat </w:t>
      </w:r>
      <w:r w:rsidRPr="002E2B85">
        <w:t>surfaces.</w:t>
      </w:r>
    </w:p>
    <w:p w14:paraId="3E29A50F" w14:textId="77777777" w:rsidR="002E2B85" w:rsidRPr="002E2B85" w:rsidRDefault="002E2B85" w:rsidP="002E2B85">
      <w:r w:rsidRPr="002E2B85">
        <w:pict w14:anchorId="71EB67FB">
          <v:rect id="_x0000_i1027" style="width:0;height:1.5pt" o:hralign="center" o:hrstd="t" o:hr="t" fillcolor="#a0a0a0" stroked="f"/>
        </w:pict>
      </w:r>
    </w:p>
    <w:p w14:paraId="5EAE0138" w14:textId="77777777" w:rsidR="002E2B85" w:rsidRPr="002E2B85" w:rsidRDefault="002E2B85" w:rsidP="002E2B85">
      <w:pPr>
        <w:rPr>
          <w:b/>
          <w:bCs/>
        </w:rPr>
      </w:pPr>
      <w:r w:rsidRPr="002E2B85">
        <w:rPr>
          <w:b/>
          <w:bCs/>
        </w:rPr>
        <w:t>Pre-treatment</w:t>
      </w:r>
    </w:p>
    <w:p w14:paraId="5471BA34" w14:textId="60894662" w:rsidR="002E2B85" w:rsidRPr="002E2B85" w:rsidRDefault="002E2B85" w:rsidP="002E2B85">
      <w:r w:rsidRPr="002E2B85">
        <w:t xml:space="preserve">The substrate should be clean and free of dust, cement skin, grease, and other impurities that can prevent adhesion. Adhesion and surface resistance of the substrate should be no less than </w:t>
      </w:r>
      <w:r w:rsidR="00455295" w:rsidRPr="00455295">
        <w:t>CSP #2</w:t>
      </w:r>
      <w:r w:rsidRPr="002E2B85">
        <w:t xml:space="preserve">. Always prime the underlying substrate with </w:t>
      </w:r>
      <w:r w:rsidRPr="00455295">
        <w:rPr>
          <w:b/>
          <w:bCs/>
          <w:highlight w:val="yellow"/>
        </w:rPr>
        <w:t>PP 600</w:t>
      </w:r>
      <w:r w:rsidRPr="002E2B85">
        <w:t xml:space="preserve"> and allow to dry before pouring.</w:t>
      </w:r>
    </w:p>
    <w:p w14:paraId="2A013635" w14:textId="08D78485" w:rsidR="002E2B85" w:rsidRPr="002E2B85" w:rsidRDefault="002E2B85" w:rsidP="002E2B85">
      <w:r w:rsidRPr="002E2B85">
        <w:t xml:space="preserve">In terms of the primer forming a film and the curing of the self-leveling, the temperature of the substrate must not fall below </w:t>
      </w:r>
      <w:r>
        <w:t>50</w:t>
      </w:r>
      <w:r w:rsidRPr="002E2B85">
        <w:t xml:space="preserve"> °</w:t>
      </w:r>
      <w:r>
        <w:t>F</w:t>
      </w:r>
      <w:r w:rsidRPr="002E2B85">
        <w:t xml:space="preserve">. For best results, the ambient temperature in the work area should be between </w:t>
      </w:r>
      <w:r>
        <w:t>50</w:t>
      </w:r>
      <w:r w:rsidRPr="002E2B85">
        <w:t xml:space="preserve"> and </w:t>
      </w:r>
      <w:r>
        <w:t>80</w:t>
      </w:r>
      <w:r w:rsidRPr="002E2B85">
        <w:t xml:space="preserve"> °</w:t>
      </w:r>
      <w:r>
        <w:t>F</w:t>
      </w:r>
      <w:r w:rsidRPr="002E2B85">
        <w:t>. At higher or lower temperatures, the curing time will shorten or extend.</w:t>
      </w:r>
    </w:p>
    <w:p w14:paraId="0B895684" w14:textId="77777777" w:rsidR="002E2B85" w:rsidRPr="002E2B85" w:rsidRDefault="002E2B85" w:rsidP="002E2B85">
      <w:r w:rsidRPr="002E2B85">
        <w:t>To reduce risk of cracks from shrinkage or settings in the subfloor, concrete surfaces should not be leveled within the first 28 days after casting. As a recommendation, the RH in the concrete should be ≤ 95 % before pouring CM 920. Use the Combimix form foam for edging.</w:t>
      </w:r>
    </w:p>
    <w:p w14:paraId="2EC8AF77" w14:textId="77777777" w:rsidR="002E2B85" w:rsidRPr="002E2B85" w:rsidRDefault="002E2B85" w:rsidP="002E2B85">
      <w:r w:rsidRPr="002E2B85">
        <w:t>To avoid clogging drainage pipes, always ensure drains are properly sealed before pouring.</w:t>
      </w:r>
    </w:p>
    <w:p w14:paraId="640033D5" w14:textId="77777777" w:rsidR="002E2B85" w:rsidRPr="002E2B85" w:rsidRDefault="002E2B85" w:rsidP="002E2B85">
      <w:r w:rsidRPr="002E2B85">
        <w:pict w14:anchorId="6F00FCB2">
          <v:rect id="_x0000_i1028" style="width:0;height:1.5pt" o:hralign="center" o:hrstd="t" o:hr="t" fillcolor="#a0a0a0" stroked="f"/>
        </w:pict>
      </w:r>
    </w:p>
    <w:p w14:paraId="76D156C8" w14:textId="77777777" w:rsidR="002E2B85" w:rsidRPr="002E2B85" w:rsidRDefault="002E2B85" w:rsidP="002E2B85">
      <w:pPr>
        <w:rPr>
          <w:b/>
          <w:bCs/>
        </w:rPr>
      </w:pPr>
      <w:r w:rsidRPr="002E2B85">
        <w:rPr>
          <w:b/>
          <w:bCs/>
        </w:rPr>
        <w:t>Mixing</w:t>
      </w:r>
    </w:p>
    <w:p w14:paraId="57FB1FC8" w14:textId="1F6A99ED" w:rsidR="002E2B85" w:rsidRPr="002E2B85" w:rsidRDefault="002E2B85" w:rsidP="002E2B85">
      <w:r w:rsidRPr="002E2B85">
        <w:lastRenderedPageBreak/>
        <w:t xml:space="preserve">Mix the dry powder with max </w:t>
      </w:r>
      <w:r w:rsidRPr="002E2B85">
        <w:rPr>
          <w:b/>
          <w:bCs/>
        </w:rPr>
        <w:t>3.</w:t>
      </w:r>
      <w:r>
        <w:rPr>
          <w:b/>
          <w:bCs/>
        </w:rPr>
        <w:t>8</w:t>
      </w:r>
      <w:r w:rsidRPr="002E2B85">
        <w:rPr>
          <w:b/>
          <w:bCs/>
        </w:rPr>
        <w:t xml:space="preserve"> </w:t>
      </w:r>
      <w:r>
        <w:rPr>
          <w:b/>
          <w:bCs/>
        </w:rPr>
        <w:t>quarts</w:t>
      </w:r>
      <w:r w:rsidRPr="002E2B85">
        <w:rPr>
          <w:b/>
          <w:bCs/>
        </w:rPr>
        <w:t xml:space="preserve"> of water</w:t>
      </w:r>
      <w:r w:rsidRPr="002E2B85">
        <w:t xml:space="preserve"> (max 18 %) per </w:t>
      </w:r>
      <w:r>
        <w:t>44 lb</w:t>
      </w:r>
      <w:r w:rsidRPr="002E2B85">
        <w:t xml:space="preserve"> bag. Mix with a drilling machine and whisk, or a mixing pump intended for this purpose.</w:t>
      </w:r>
    </w:p>
    <w:p w14:paraId="57FF0F80" w14:textId="16FF22CE" w:rsidR="002E2B85" w:rsidRPr="002E2B85" w:rsidRDefault="002E2B85" w:rsidP="002E2B85">
      <w:pPr>
        <w:shd w:val="clear" w:color="auto" w:fill="FFFF00"/>
      </w:pPr>
      <w:r w:rsidRPr="002E2B85">
        <w:t xml:space="preserve">The correct water mixture can be tested using a slump test with a cylinder Ø 30 mm × height 50 mm on a 300 × 300 mm plexiglass plate. With correct water content, the spread should be max </w:t>
      </w:r>
      <w:r w:rsidR="00A01172">
        <w:t>5.31</w:t>
      </w:r>
      <w:r w:rsidRPr="002E2B85">
        <w:t xml:space="preserve"> mm. The slump test also checks that the material i</w:t>
      </w:r>
      <w:r>
        <w:t>10</w:t>
      </w:r>
      <w:r w:rsidRPr="002E2B85">
        <w:t>s well blended without separation.</w:t>
      </w:r>
    </w:p>
    <w:p w14:paraId="6F028527" w14:textId="77777777" w:rsidR="002E2B85" w:rsidRPr="002E2B85" w:rsidRDefault="002E2B85" w:rsidP="002E2B85">
      <w:r w:rsidRPr="002E2B85">
        <w:pict w14:anchorId="13EB23E4">
          <v:rect id="_x0000_i1029" style="width:0;height:1.5pt" o:hralign="center" o:hrstd="t" o:hr="t" fillcolor="#a0a0a0" stroked="f"/>
        </w:pict>
      </w:r>
    </w:p>
    <w:p w14:paraId="4EBB1956" w14:textId="77777777" w:rsidR="002E2B85" w:rsidRPr="002E2B85" w:rsidRDefault="002E2B85" w:rsidP="002E2B85">
      <w:pPr>
        <w:rPr>
          <w:b/>
          <w:bCs/>
        </w:rPr>
      </w:pPr>
      <w:r w:rsidRPr="002E2B85">
        <w:rPr>
          <w:b/>
          <w:bCs/>
        </w:rPr>
        <w:t>Application</w:t>
      </w:r>
    </w:p>
    <w:p w14:paraId="7AC7CEEE" w14:textId="554FB9AA" w:rsidR="002E2B85" w:rsidRPr="002E2B85" w:rsidRDefault="002E2B85" w:rsidP="002E2B85">
      <w:r w:rsidRPr="002E2B85">
        <w:t xml:space="preserve">The mixed material is applied by hand or pumped onto the substrate in </w:t>
      </w:r>
      <w:r>
        <w:t>ribbons</w:t>
      </w:r>
      <w:r w:rsidRPr="002E2B85">
        <w:t>. Each new ribbon should be added to the previous one</w:t>
      </w:r>
      <w:r>
        <w:t>, maintaining a wet edge</w:t>
      </w:r>
      <w:r w:rsidRPr="002E2B85">
        <w:t xml:space="preserve"> so that the material blends together and creates an even surface.</w:t>
      </w:r>
    </w:p>
    <w:p w14:paraId="5E5A86BB" w14:textId="4F2E7FAD" w:rsidR="002E2B85" w:rsidRPr="002E2B85" w:rsidRDefault="002E2B85" w:rsidP="002E2B85">
      <w:r w:rsidRPr="002E2B85">
        <w:t>The ribbon width can be adjusted to the mixing pump capacity and thickness of the covering. The material requires light treatment with a</w:t>
      </w:r>
      <w:r>
        <w:t xml:space="preserve"> spiked roller, or other finishing tool</w:t>
      </w:r>
      <w:r w:rsidRPr="002E2B85">
        <w:t xml:space="preserve"> for maximum smoothness.</w:t>
      </w:r>
    </w:p>
    <w:p w14:paraId="51EFA0F4" w14:textId="77777777" w:rsidR="002E2B85" w:rsidRPr="002E2B85" w:rsidRDefault="002E2B85" w:rsidP="002E2B85">
      <w:r w:rsidRPr="002E2B85">
        <w:pict w14:anchorId="3ECC929B">
          <v:rect id="_x0000_i1030" style="width:0;height:1.5pt" o:hralign="center" o:hrstd="t" o:hr="t" fillcolor="#a0a0a0" stroked="f"/>
        </w:pict>
      </w:r>
    </w:p>
    <w:p w14:paraId="70FE957E" w14:textId="77777777" w:rsidR="002E2B85" w:rsidRPr="002E2B85" w:rsidRDefault="002E2B85" w:rsidP="002E2B85">
      <w:r w:rsidRPr="002E2B85">
        <w:rPr>
          <w:b/>
          <w:bCs/>
        </w:rPr>
        <w:t>Technical Data (from main text)</w:t>
      </w:r>
    </w:p>
    <w:p w14:paraId="71B9EF58" w14:textId="45FFF283" w:rsidR="002E2B85" w:rsidRPr="002E2B85" w:rsidRDefault="002E2B85" w:rsidP="002E2B85">
      <w:pPr>
        <w:numPr>
          <w:ilvl w:val="0"/>
          <w:numId w:val="1"/>
        </w:numPr>
      </w:pPr>
      <w:r w:rsidRPr="002E2B85">
        <w:t xml:space="preserve">Water requirements: </w:t>
      </w:r>
      <w:r>
        <w:t xml:space="preserve">3.8q </w:t>
      </w:r>
      <w:r w:rsidRPr="002E2B85">
        <w:t>/</w:t>
      </w:r>
      <w:r>
        <w:t>44 lb</w:t>
      </w:r>
    </w:p>
    <w:p w14:paraId="051FE474" w14:textId="77777777" w:rsidR="002E2B85" w:rsidRPr="002E2B85" w:rsidRDefault="002E2B85" w:rsidP="002E2B85">
      <w:pPr>
        <w:numPr>
          <w:ilvl w:val="0"/>
          <w:numId w:val="1"/>
        </w:numPr>
      </w:pPr>
      <w:r w:rsidRPr="002E2B85">
        <w:t>Mixing time: 3 min</w:t>
      </w:r>
    </w:p>
    <w:p w14:paraId="338BF5C1" w14:textId="77777777" w:rsidR="002E2B85" w:rsidRPr="002E2B85" w:rsidRDefault="002E2B85" w:rsidP="002E2B85">
      <w:pPr>
        <w:numPr>
          <w:ilvl w:val="0"/>
          <w:numId w:val="1"/>
        </w:numPr>
      </w:pPr>
      <w:r w:rsidRPr="002E2B85">
        <w:t>Working time: 15–25 min</w:t>
      </w:r>
    </w:p>
    <w:p w14:paraId="1B5FCF1F" w14:textId="0655DDF1" w:rsidR="002E2B85" w:rsidRPr="002E2B85" w:rsidRDefault="002E2B85" w:rsidP="002E2B85">
      <w:pPr>
        <w:numPr>
          <w:ilvl w:val="0"/>
          <w:numId w:val="1"/>
        </w:numPr>
      </w:pPr>
      <w:r w:rsidRPr="002E2B85">
        <w:t xml:space="preserve">Workplace temperature: </w:t>
      </w:r>
      <w:r>
        <w:t>50</w:t>
      </w:r>
      <w:r w:rsidRPr="002E2B85">
        <w:t>–</w:t>
      </w:r>
      <w:r>
        <w:t>80</w:t>
      </w:r>
      <w:r w:rsidRPr="002E2B85">
        <w:t xml:space="preserve"> °</w:t>
      </w:r>
      <w:r>
        <w:t>F</w:t>
      </w:r>
    </w:p>
    <w:p w14:paraId="4599A237" w14:textId="0B0D4713" w:rsidR="002E2B85" w:rsidRPr="002E2B85" w:rsidRDefault="002E2B85" w:rsidP="002E2B85">
      <w:pPr>
        <w:numPr>
          <w:ilvl w:val="0"/>
          <w:numId w:val="1"/>
        </w:numPr>
      </w:pPr>
      <w:r w:rsidRPr="002E2B85">
        <w:t xml:space="preserve">Thickness: </w:t>
      </w:r>
      <w:r>
        <w:t>0.2 – 1.25 inches</w:t>
      </w:r>
    </w:p>
    <w:p w14:paraId="31F0FC89" w14:textId="77777777" w:rsidR="002E2B85" w:rsidRPr="002E2B85" w:rsidRDefault="002E2B85" w:rsidP="002E2B85">
      <w:pPr>
        <w:numPr>
          <w:ilvl w:val="0"/>
          <w:numId w:val="1"/>
        </w:numPr>
      </w:pPr>
      <w:r w:rsidRPr="002E2B85">
        <w:t>Final set: 1–3 hrs</w:t>
      </w:r>
    </w:p>
    <w:p w14:paraId="0514E479" w14:textId="77777777" w:rsidR="002E2B85" w:rsidRPr="002E2B85" w:rsidRDefault="002E2B85" w:rsidP="002E2B85">
      <w:pPr>
        <w:numPr>
          <w:ilvl w:val="0"/>
          <w:numId w:val="1"/>
        </w:numPr>
      </w:pPr>
      <w:r w:rsidRPr="002E2B85">
        <w:t>Paintable with epoxy or similar: 3–5 days</w:t>
      </w:r>
    </w:p>
    <w:p w14:paraId="0D8D9B20" w14:textId="77777777" w:rsidR="002E2B85" w:rsidRPr="002E2B85" w:rsidRDefault="002E2B85" w:rsidP="002E2B85">
      <w:r w:rsidRPr="002E2B85">
        <w:pict w14:anchorId="492127AA">
          <v:rect id="_x0000_i1031" style="width:0;height:1.5pt" o:hralign="center" o:hrstd="t" o:hr="t" fillcolor="#a0a0a0" stroked="f"/>
        </w:pict>
      </w:r>
    </w:p>
    <w:p w14:paraId="0C84D1B3" w14:textId="77777777" w:rsidR="002E2B85" w:rsidRPr="002E2B85" w:rsidRDefault="002E2B85" w:rsidP="002E2B85">
      <w:pPr>
        <w:rPr>
          <w:b/>
          <w:bCs/>
        </w:rPr>
      </w:pPr>
      <w:r w:rsidRPr="002E2B85">
        <w:rPr>
          <w:b/>
          <w:bCs/>
        </w:rPr>
        <w:t>Post-treatment and curing</w:t>
      </w:r>
    </w:p>
    <w:p w14:paraId="5E6D86E8" w14:textId="77777777" w:rsidR="002E2B85" w:rsidRPr="002E2B85" w:rsidRDefault="002E2B85" w:rsidP="002E2B85">
      <w:r w:rsidRPr="002E2B85">
        <w:t>You can shape or cut the semi-hardened self-leveling underlayment before it fully dries. Paintable with epoxy or similar after 3–5 days (depending on thickness). Always ensure the material is sufficiently dry before overcoating.</w:t>
      </w:r>
    </w:p>
    <w:p w14:paraId="2ADD6C0B" w14:textId="14408740" w:rsidR="002E2B85" w:rsidRPr="002E2B85" w:rsidRDefault="002E2B85" w:rsidP="002E2B85">
      <w:r w:rsidRPr="002E2B85">
        <w:lastRenderedPageBreak/>
        <w:t xml:space="preserve">The stated values assume curing at ~ </w:t>
      </w:r>
      <w:r>
        <w:t>70</w:t>
      </w:r>
      <w:r w:rsidRPr="002E2B85">
        <w:t xml:space="preserve"> °</w:t>
      </w:r>
      <w:r>
        <w:t>F</w:t>
      </w:r>
      <w:r w:rsidRPr="002E2B85">
        <w:t>, 50 % RH, and proper airflow. Newly produced surfaces must be protected from wind, sun, and rain.</w:t>
      </w:r>
    </w:p>
    <w:p w14:paraId="0B869BD8" w14:textId="77777777" w:rsidR="002E2B85" w:rsidRPr="002E2B85" w:rsidRDefault="002E2B85" w:rsidP="002E2B85">
      <w:r w:rsidRPr="002E2B85">
        <w:pict w14:anchorId="17FB790E">
          <v:rect id="_x0000_i1032" style="width:0;height:1.5pt" o:hralign="center" o:hrstd="t" o:hr="t" fillcolor="#a0a0a0" stroked="f"/>
        </w:pict>
      </w:r>
    </w:p>
    <w:p w14:paraId="461569A3" w14:textId="77777777" w:rsidR="002E2B85" w:rsidRPr="002E2B85" w:rsidRDefault="002E2B85" w:rsidP="002E2B85">
      <w:pPr>
        <w:rPr>
          <w:b/>
          <w:bCs/>
        </w:rPr>
      </w:pPr>
      <w:r w:rsidRPr="002E2B85">
        <w:rPr>
          <w:b/>
          <w:bCs/>
        </w:rPr>
        <w:t>Storage time and packaging</w:t>
      </w:r>
    </w:p>
    <w:p w14:paraId="3E826696" w14:textId="77777777" w:rsidR="002E2B85" w:rsidRPr="002E2B85" w:rsidRDefault="002E2B85" w:rsidP="002E2B85">
      <w:r w:rsidRPr="002E2B85">
        <w:t>Store in a dry environment, on unopened plastic-coated pallets, for six months from production date. The date of production is printed on the packaging. Product may be used after 6 months but flow rate, hardening, and drying times may be extended.</w:t>
      </w:r>
    </w:p>
    <w:p w14:paraId="2BA65033" w14:textId="65B663EA" w:rsidR="002E2B85" w:rsidRPr="002E2B85" w:rsidRDefault="002E2B85" w:rsidP="002E2B85">
      <w:r w:rsidRPr="002E2B85">
        <w:t xml:space="preserve">Supplied in </w:t>
      </w:r>
      <w:r>
        <w:t>44 lb</w:t>
      </w:r>
      <w:r w:rsidRPr="002E2B85">
        <w:t xml:space="preserve"> bags and big bags.</w:t>
      </w:r>
    </w:p>
    <w:p w14:paraId="265F87D9" w14:textId="77777777" w:rsidR="002E2B85" w:rsidRPr="002E2B85" w:rsidRDefault="002E2B85" w:rsidP="002E2B85">
      <w:r w:rsidRPr="002E2B85">
        <w:pict w14:anchorId="255FCED3">
          <v:rect id="_x0000_i1033" style="width:0;height:1.5pt" o:hralign="center" o:hrstd="t" o:hr="t" fillcolor="#a0a0a0" stroked="f"/>
        </w:pict>
      </w:r>
    </w:p>
    <w:p w14:paraId="39EB6913" w14:textId="77777777" w:rsidR="002E2B85" w:rsidRPr="002E2B85" w:rsidRDefault="002E2B85" w:rsidP="002E2B85">
      <w:pPr>
        <w:rPr>
          <w:b/>
          <w:bCs/>
        </w:rPr>
      </w:pPr>
      <w:r w:rsidRPr="002E2B85">
        <w:rPr>
          <w:b/>
          <w:bCs/>
        </w:rPr>
        <w:t>Residual products and safety information</w:t>
      </w:r>
    </w:p>
    <w:p w14:paraId="172ABE32" w14:textId="77777777" w:rsidR="002E2B85" w:rsidRPr="002E2B85" w:rsidRDefault="002E2B85" w:rsidP="002E2B85">
      <w:r w:rsidRPr="002E2B85">
        <w:t>Empty bags can be burned. Any remaining dry powder that has been stored properly can be reused. Hardened material should be disposed of as construction waste. Do not wash product into sewage systems. The cement contains a reduced level of chromate. Follow local regulations.</w:t>
      </w:r>
    </w:p>
    <w:p w14:paraId="5DCF31CB" w14:textId="77777777" w:rsidR="002E2B85" w:rsidRPr="002E2B85" w:rsidRDefault="002E2B85" w:rsidP="002E2B85">
      <w:r w:rsidRPr="002E2B85">
        <w:pict w14:anchorId="678E4C17">
          <v:rect id="_x0000_i1034" style="width:0;height:1.5pt" o:hralign="center" o:hrstd="t" o:hr="t" fillcolor="#a0a0a0" stroked="f"/>
        </w:pict>
      </w:r>
    </w:p>
    <w:p w14:paraId="70B62A56" w14:textId="77777777" w:rsidR="002E2B85" w:rsidRPr="002E2B85" w:rsidRDefault="002E2B85" w:rsidP="002E2B85">
      <w:pPr>
        <w:rPr>
          <w:b/>
          <w:bCs/>
        </w:rPr>
      </w:pPr>
      <w:r w:rsidRPr="002E2B85">
        <w:rPr>
          <w:b/>
          <w:bCs/>
        </w:rPr>
        <w:t>Health, environment, safety, and technical service documents</w:t>
      </w:r>
    </w:p>
    <w:p w14:paraId="17830D2C" w14:textId="77777777" w:rsidR="002E2B85" w:rsidRPr="002E2B85" w:rsidRDefault="002E2B85" w:rsidP="002E2B85">
      <w:r w:rsidRPr="002E2B85">
        <w:t xml:space="preserve">For the latest product information, contact </w:t>
      </w:r>
      <w:hyperlink r:id="rId6" w:history="1">
        <w:r w:rsidRPr="002E2B85">
          <w:rPr>
            <w:rStyle w:val="Hyperlink"/>
            <w:b/>
            <w:bCs/>
          </w:rPr>
          <w:t>info@combimix.se</w:t>
        </w:r>
      </w:hyperlink>
      <w:r w:rsidRPr="002E2B85">
        <w:t>.</w:t>
      </w:r>
      <w:r w:rsidRPr="002E2B85">
        <w:br/>
        <w:t>Previously undated or outdated issues are invalid.</w:t>
      </w:r>
      <w:r w:rsidRPr="002E2B85">
        <w:br/>
        <w:t>For more info, contact Combimix sales.</w:t>
      </w:r>
    </w:p>
    <w:p w14:paraId="199D0211" w14:textId="77777777" w:rsidR="002E2B85" w:rsidRPr="002E2B85" w:rsidRDefault="002E2B85" w:rsidP="002E2B85">
      <w:r w:rsidRPr="002E2B85">
        <w:pict w14:anchorId="590A0D95">
          <v:rect id="_x0000_i1035" style="width:0;height:1.5pt" o:hralign="center" o:hrstd="t" o:hr="t" fillcolor="#a0a0a0" stroked="f"/>
        </w:pict>
      </w:r>
    </w:p>
    <w:p w14:paraId="3764F8AE" w14:textId="77777777" w:rsidR="002E2B85" w:rsidRPr="002E2B85" w:rsidRDefault="002E2B85" w:rsidP="002E2B85">
      <w:r w:rsidRPr="002E2B85">
        <w:rPr>
          <w:b/>
          <w:bCs/>
        </w:rPr>
        <w:t>Disclaimer</w:t>
      </w:r>
      <w:r w:rsidRPr="002E2B85">
        <w:br/>
        <w:t>This sheet contains general information. Products can be used in various changing conditions and situations. Combimix is not responsible for storage, use in construction, processing, design, interaction with other products, required use due to local conditions, or other external factors. Combimix is also not responsible for cases where this information is misinterpreted or neglected by the user.</w:t>
      </w:r>
    </w:p>
    <w:p w14:paraId="37A4EF06" w14:textId="77777777" w:rsidR="002E2B85" w:rsidRPr="002E2B85" w:rsidRDefault="002E2B85" w:rsidP="002E2B85">
      <w:r w:rsidRPr="002E2B85">
        <w:pict w14:anchorId="71B7F74D">
          <v:rect id="_x0000_i1036" style="width:0;height:1.5pt" o:hralign="center" o:hrstd="t" o:hr="t" fillcolor="#a0a0a0" stroked="f"/>
        </w:pict>
      </w:r>
    </w:p>
    <w:p w14:paraId="4D727B6A" w14:textId="77777777" w:rsidR="002E2B85" w:rsidRPr="002E2B85" w:rsidRDefault="002E2B85" w:rsidP="002E2B85">
      <w:pPr>
        <w:rPr>
          <w:b/>
          <w:bCs/>
        </w:rPr>
      </w:pPr>
      <w:r w:rsidRPr="002E2B85">
        <w:rPr>
          <w:b/>
          <w:bCs/>
        </w:rPr>
        <w:t>Product Specification (EN 13813)</w:t>
      </w:r>
    </w:p>
    <w:p w14:paraId="546B613D" w14:textId="77804A32" w:rsidR="002E2B85" w:rsidRPr="002E2B85" w:rsidRDefault="002E2B85" w:rsidP="002E2B85">
      <w:pPr>
        <w:numPr>
          <w:ilvl w:val="0"/>
          <w:numId w:val="2"/>
        </w:numPr>
      </w:pPr>
      <w:r w:rsidRPr="002E2B85">
        <w:t xml:space="preserve">Compressive strength class: </w:t>
      </w:r>
      <w:r w:rsidR="002C1164">
        <w:t>4,350 psi</w:t>
      </w:r>
    </w:p>
    <w:p w14:paraId="367E52D4" w14:textId="7A9FF47E" w:rsidR="002E2B85" w:rsidRPr="002E2B85" w:rsidRDefault="002E2B85" w:rsidP="002E2B85">
      <w:pPr>
        <w:numPr>
          <w:ilvl w:val="0"/>
          <w:numId w:val="2"/>
        </w:numPr>
      </w:pPr>
      <w:r w:rsidRPr="002E2B85">
        <w:t xml:space="preserve">Compressive strength average: </w:t>
      </w:r>
      <w:r w:rsidR="002C1164">
        <w:t>5200 psi</w:t>
      </w:r>
    </w:p>
    <w:p w14:paraId="273C578C" w14:textId="5DAE9297" w:rsidR="002E2B85" w:rsidRPr="002E2B85" w:rsidRDefault="002E2B85" w:rsidP="002E2B85">
      <w:pPr>
        <w:numPr>
          <w:ilvl w:val="0"/>
          <w:numId w:val="2"/>
        </w:numPr>
      </w:pPr>
      <w:r w:rsidRPr="002E2B85">
        <w:lastRenderedPageBreak/>
        <w:t xml:space="preserve">Flexural strength class: </w:t>
      </w:r>
      <w:r w:rsidR="002C1164">
        <w:t>1,160 psi</w:t>
      </w:r>
    </w:p>
    <w:p w14:paraId="50F7691B" w14:textId="6E21350B" w:rsidR="002E2B85" w:rsidRPr="002E2B85" w:rsidRDefault="002E2B85" w:rsidP="002E2B85">
      <w:pPr>
        <w:numPr>
          <w:ilvl w:val="0"/>
          <w:numId w:val="2"/>
        </w:numPr>
      </w:pPr>
      <w:r w:rsidRPr="002E2B85">
        <w:t xml:space="preserve">Flexural strength average: </w:t>
      </w:r>
      <w:r w:rsidR="002C1164">
        <w:t>1,450 psi</w:t>
      </w:r>
    </w:p>
    <w:p w14:paraId="3E880315" w14:textId="77777777" w:rsidR="002E2B85" w:rsidRPr="002E2B85" w:rsidRDefault="002E2B85" w:rsidP="002E2B85">
      <w:pPr>
        <w:numPr>
          <w:ilvl w:val="0"/>
          <w:numId w:val="2"/>
        </w:numPr>
      </w:pPr>
      <w:r w:rsidRPr="002E2B85">
        <w:t>Fire resistance class: A1fl</w:t>
      </w:r>
    </w:p>
    <w:p w14:paraId="02EB010B" w14:textId="15C602F8" w:rsidR="002E2B85" w:rsidRPr="002E2B85" w:rsidRDefault="002E2B85" w:rsidP="002E2B85">
      <w:pPr>
        <w:numPr>
          <w:ilvl w:val="0"/>
          <w:numId w:val="2"/>
        </w:numPr>
      </w:pPr>
      <w:r w:rsidRPr="002E2B85">
        <w:t>R</w:t>
      </w:r>
      <w:r w:rsidR="002C1164">
        <w:t>esistance to Wear</w:t>
      </w:r>
      <w:r w:rsidRPr="002E2B85">
        <w:t xml:space="preserve">: </w:t>
      </w:r>
      <w:r w:rsidR="002C1164">
        <w:t>very high</w:t>
      </w:r>
    </w:p>
    <w:p w14:paraId="0C93B042" w14:textId="75A39F69" w:rsidR="002E2B85" w:rsidRPr="002E2B85" w:rsidRDefault="002E2B85" w:rsidP="002E2B85">
      <w:pPr>
        <w:numPr>
          <w:ilvl w:val="0"/>
          <w:numId w:val="2"/>
        </w:numPr>
      </w:pPr>
      <w:r w:rsidRPr="002E2B85">
        <w:t xml:space="preserve">Adhesion to surface: </w:t>
      </w:r>
      <w:r w:rsidR="002C1164">
        <w:t>CSP 2 – 3 required</w:t>
      </w:r>
    </w:p>
    <w:p w14:paraId="18DD7C5E" w14:textId="5E8A4398" w:rsidR="002E2B85" w:rsidRPr="002E2B85" w:rsidRDefault="002E2B85" w:rsidP="002E2B85">
      <w:pPr>
        <w:numPr>
          <w:ilvl w:val="0"/>
          <w:numId w:val="2"/>
        </w:numPr>
      </w:pPr>
      <w:r w:rsidRPr="002E2B85">
        <w:t xml:space="preserve">Thickness: </w:t>
      </w:r>
      <w:r w:rsidR="002C1164">
        <w:t>0.2</w:t>
      </w:r>
      <w:r w:rsidRPr="002E2B85">
        <w:t>–</w:t>
      </w:r>
      <w:r w:rsidR="002C1164">
        <w:t>1.25</w:t>
      </w:r>
      <w:r w:rsidRPr="002E2B85">
        <w:t xml:space="preserve"> </w:t>
      </w:r>
      <w:r w:rsidR="002C1164">
        <w:t>inches</w:t>
      </w:r>
    </w:p>
    <w:p w14:paraId="03F8E8F3" w14:textId="77777777" w:rsidR="002E2B85" w:rsidRPr="002E2B85" w:rsidRDefault="002E2B85" w:rsidP="002E2B85">
      <w:pPr>
        <w:numPr>
          <w:ilvl w:val="0"/>
          <w:numId w:val="2"/>
        </w:numPr>
      </w:pPr>
      <w:r w:rsidRPr="002E2B85">
        <w:t>Grain size: &lt; 2 mm</w:t>
      </w:r>
    </w:p>
    <w:p w14:paraId="7F0D6F74" w14:textId="0132E007" w:rsidR="002E2B85" w:rsidRPr="002E2B85" w:rsidRDefault="002E2B85" w:rsidP="002E2B85">
      <w:pPr>
        <w:numPr>
          <w:ilvl w:val="0"/>
          <w:numId w:val="2"/>
        </w:numPr>
      </w:pPr>
      <w:r w:rsidRPr="002E2B85">
        <w:t xml:space="preserve">Material consumption: </w:t>
      </w:r>
      <w:r w:rsidR="00B90360">
        <w:t>4.42 lb/ft</w:t>
      </w:r>
      <w:r w:rsidR="00B90360" w:rsidRPr="00B90360">
        <w:t>²</w:t>
      </w:r>
      <w:r w:rsidR="00B90360">
        <w:t xml:space="preserve"> at ½”</w:t>
      </w:r>
    </w:p>
    <w:p w14:paraId="4179AE0A" w14:textId="77777777" w:rsidR="002E2B85" w:rsidRPr="002E2B85" w:rsidRDefault="002E2B85" w:rsidP="002E2B85">
      <w:pPr>
        <w:numPr>
          <w:ilvl w:val="0"/>
          <w:numId w:val="2"/>
        </w:numPr>
      </w:pPr>
      <w:r w:rsidRPr="002E2B85">
        <w:t>Weight (dry): 1700 kg/m³</w:t>
      </w:r>
    </w:p>
    <w:p w14:paraId="74167F49" w14:textId="57839A43" w:rsidR="002E2B85" w:rsidRPr="002E2B85" w:rsidRDefault="002E2B85" w:rsidP="002E2B85">
      <w:pPr>
        <w:numPr>
          <w:ilvl w:val="0"/>
          <w:numId w:val="2"/>
        </w:numPr>
      </w:pPr>
      <w:r w:rsidRPr="002E2B85">
        <w:t>Water requirements: 3</w:t>
      </w:r>
      <w:r w:rsidR="002C1164">
        <w:t>.8q</w:t>
      </w:r>
      <w:r w:rsidRPr="002E2B85">
        <w:t>/</w:t>
      </w:r>
      <w:r w:rsidR="002C1164">
        <w:t>44 lb</w:t>
      </w:r>
    </w:p>
    <w:p w14:paraId="1E1E0291" w14:textId="77777777" w:rsidR="002E2B85" w:rsidRPr="002E2B85" w:rsidRDefault="002E2B85" w:rsidP="002E2B85">
      <w:pPr>
        <w:numPr>
          <w:ilvl w:val="0"/>
          <w:numId w:val="2"/>
        </w:numPr>
      </w:pPr>
      <w:r w:rsidRPr="002E2B85">
        <w:t>Flow rate: max 135 mm</w:t>
      </w:r>
    </w:p>
    <w:p w14:paraId="00552FA6" w14:textId="31EEC6CC" w:rsidR="002E2B85" w:rsidRPr="002E2B85" w:rsidRDefault="002E2B85" w:rsidP="002E2B85">
      <w:pPr>
        <w:numPr>
          <w:ilvl w:val="0"/>
          <w:numId w:val="2"/>
        </w:numPr>
      </w:pPr>
      <w:r w:rsidRPr="002E2B85">
        <w:t xml:space="preserve">Workplace temperature: </w:t>
      </w:r>
      <w:r w:rsidR="002C1164">
        <w:t>50</w:t>
      </w:r>
      <w:r w:rsidRPr="002E2B85">
        <w:t>–</w:t>
      </w:r>
      <w:r w:rsidR="002C1164">
        <w:t>80</w:t>
      </w:r>
      <w:r w:rsidRPr="002E2B85">
        <w:t xml:space="preserve"> °</w:t>
      </w:r>
      <w:r w:rsidR="002C1164">
        <w:t>F</w:t>
      </w:r>
    </w:p>
    <w:p w14:paraId="5F11A4E8" w14:textId="77777777" w:rsidR="002E2B85" w:rsidRPr="002E2B85" w:rsidRDefault="002E2B85" w:rsidP="002E2B85">
      <w:pPr>
        <w:numPr>
          <w:ilvl w:val="0"/>
          <w:numId w:val="2"/>
        </w:numPr>
      </w:pPr>
      <w:r w:rsidRPr="002E2B85">
        <w:t>Mixing time: 3 min</w:t>
      </w:r>
    </w:p>
    <w:p w14:paraId="42F03B90" w14:textId="77777777" w:rsidR="002E2B85" w:rsidRPr="002E2B85" w:rsidRDefault="002E2B85" w:rsidP="002E2B85">
      <w:pPr>
        <w:numPr>
          <w:ilvl w:val="0"/>
          <w:numId w:val="2"/>
        </w:numPr>
      </w:pPr>
      <w:r w:rsidRPr="002E2B85">
        <w:t>Working time: 15–25 min</w:t>
      </w:r>
    </w:p>
    <w:p w14:paraId="1529DF07" w14:textId="77777777" w:rsidR="002E2B85" w:rsidRPr="002E2B85" w:rsidRDefault="002E2B85" w:rsidP="002E2B85">
      <w:pPr>
        <w:numPr>
          <w:ilvl w:val="0"/>
          <w:numId w:val="2"/>
        </w:numPr>
      </w:pPr>
      <w:r w:rsidRPr="002E2B85">
        <w:t>Final set: 1–3 hrs</w:t>
      </w:r>
    </w:p>
    <w:p w14:paraId="025DCF9C" w14:textId="77777777" w:rsidR="002E2B85" w:rsidRPr="002E2B85" w:rsidRDefault="002E2B85" w:rsidP="002E2B85">
      <w:pPr>
        <w:numPr>
          <w:ilvl w:val="0"/>
          <w:numId w:val="2"/>
        </w:numPr>
      </w:pPr>
      <w:r w:rsidRPr="002E2B85">
        <w:t>Coverable (tiles): 12 hrs</w:t>
      </w:r>
    </w:p>
    <w:p w14:paraId="63F252C2" w14:textId="77777777" w:rsidR="002E2B85" w:rsidRPr="002E2B85" w:rsidRDefault="002E2B85" w:rsidP="002E2B85">
      <w:pPr>
        <w:numPr>
          <w:ilvl w:val="0"/>
          <w:numId w:val="2"/>
        </w:numPr>
      </w:pPr>
      <w:r w:rsidRPr="002E2B85">
        <w:t>Paintable with epoxy/similar: 3–5 days</w:t>
      </w:r>
    </w:p>
    <w:p w14:paraId="625DDA6E" w14:textId="77777777" w:rsidR="002E2B85" w:rsidRPr="002E2B85" w:rsidRDefault="002E2B85" w:rsidP="002E2B85">
      <w:pPr>
        <w:numPr>
          <w:ilvl w:val="0"/>
          <w:numId w:val="2"/>
        </w:numPr>
      </w:pPr>
      <w:r w:rsidRPr="002E2B85">
        <w:t>pH: approx. 11</w:t>
      </w:r>
    </w:p>
    <w:p w14:paraId="4591ABC4" w14:textId="77777777" w:rsidR="002E2B85" w:rsidRPr="002E2B85" w:rsidRDefault="002E2B85" w:rsidP="002E2B85">
      <w:pPr>
        <w:numPr>
          <w:ilvl w:val="0"/>
          <w:numId w:val="2"/>
        </w:numPr>
      </w:pPr>
      <w:r w:rsidRPr="002E2B85">
        <w:t>Water damage resistant: Yes</w:t>
      </w:r>
    </w:p>
    <w:p w14:paraId="00775713" w14:textId="77777777" w:rsidR="002E2B85" w:rsidRPr="002E2B85" w:rsidRDefault="002E2B85" w:rsidP="002E2B85">
      <w:pPr>
        <w:numPr>
          <w:ilvl w:val="0"/>
          <w:numId w:val="2"/>
        </w:numPr>
      </w:pPr>
      <w:r w:rsidRPr="002E2B85">
        <w:t>Surface tensile bond strength, 28 days (sanded, loaded surface): &gt; 2.0 MPa</w:t>
      </w:r>
    </w:p>
    <w:p w14:paraId="7D541159" w14:textId="77777777" w:rsidR="002E2B85" w:rsidRPr="002E2B85" w:rsidRDefault="002E2B85" w:rsidP="002E2B85">
      <w:pPr>
        <w:numPr>
          <w:ilvl w:val="0"/>
          <w:numId w:val="2"/>
        </w:numPr>
      </w:pPr>
      <w:r w:rsidRPr="002E2B85">
        <w:t>Shrinkage: 0.03–0.05 %</w:t>
      </w:r>
    </w:p>
    <w:p w14:paraId="69A6C999" w14:textId="77777777" w:rsidR="002E2B85" w:rsidRDefault="002E2B85"/>
    <w:sectPr w:rsidR="002E2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12C5F"/>
    <w:multiLevelType w:val="multilevel"/>
    <w:tmpl w:val="E0C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F0E6C"/>
    <w:multiLevelType w:val="multilevel"/>
    <w:tmpl w:val="CCB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660924">
    <w:abstractNumId w:val="1"/>
  </w:num>
  <w:num w:numId="2" w16cid:durableId="86640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85"/>
    <w:rsid w:val="00021558"/>
    <w:rsid w:val="002C1164"/>
    <w:rsid w:val="002D5D88"/>
    <w:rsid w:val="002E2B85"/>
    <w:rsid w:val="00455295"/>
    <w:rsid w:val="00674D22"/>
    <w:rsid w:val="00A01172"/>
    <w:rsid w:val="00B90360"/>
    <w:rsid w:val="00D9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898D"/>
  <w15:chartTrackingRefBased/>
  <w15:docId w15:val="{FB5BF08F-43AB-40A5-8FBF-E04C153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B85"/>
    <w:rPr>
      <w:rFonts w:eastAsiaTheme="majorEastAsia" w:cstheme="majorBidi"/>
      <w:color w:val="272727" w:themeColor="text1" w:themeTint="D8"/>
    </w:rPr>
  </w:style>
  <w:style w:type="paragraph" w:styleId="Title">
    <w:name w:val="Title"/>
    <w:basedOn w:val="Normal"/>
    <w:next w:val="Normal"/>
    <w:link w:val="TitleChar"/>
    <w:uiPriority w:val="10"/>
    <w:qFormat/>
    <w:rsid w:val="002E2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B85"/>
    <w:pPr>
      <w:spacing w:before="160"/>
      <w:jc w:val="center"/>
    </w:pPr>
    <w:rPr>
      <w:i/>
      <w:iCs/>
      <w:color w:val="404040" w:themeColor="text1" w:themeTint="BF"/>
    </w:rPr>
  </w:style>
  <w:style w:type="character" w:customStyle="1" w:styleId="QuoteChar">
    <w:name w:val="Quote Char"/>
    <w:basedOn w:val="DefaultParagraphFont"/>
    <w:link w:val="Quote"/>
    <w:uiPriority w:val="29"/>
    <w:rsid w:val="002E2B85"/>
    <w:rPr>
      <w:i/>
      <w:iCs/>
      <w:color w:val="404040" w:themeColor="text1" w:themeTint="BF"/>
    </w:rPr>
  </w:style>
  <w:style w:type="paragraph" w:styleId="ListParagraph">
    <w:name w:val="List Paragraph"/>
    <w:basedOn w:val="Normal"/>
    <w:uiPriority w:val="34"/>
    <w:qFormat/>
    <w:rsid w:val="002E2B85"/>
    <w:pPr>
      <w:ind w:left="720"/>
      <w:contextualSpacing/>
    </w:pPr>
  </w:style>
  <w:style w:type="character" w:styleId="IntenseEmphasis">
    <w:name w:val="Intense Emphasis"/>
    <w:basedOn w:val="DefaultParagraphFont"/>
    <w:uiPriority w:val="21"/>
    <w:qFormat/>
    <w:rsid w:val="002E2B85"/>
    <w:rPr>
      <w:i/>
      <w:iCs/>
      <w:color w:val="0F4761" w:themeColor="accent1" w:themeShade="BF"/>
    </w:rPr>
  </w:style>
  <w:style w:type="paragraph" w:styleId="IntenseQuote">
    <w:name w:val="Intense Quote"/>
    <w:basedOn w:val="Normal"/>
    <w:next w:val="Normal"/>
    <w:link w:val="IntenseQuoteChar"/>
    <w:uiPriority w:val="30"/>
    <w:qFormat/>
    <w:rsid w:val="002E2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B85"/>
    <w:rPr>
      <w:i/>
      <w:iCs/>
      <w:color w:val="0F4761" w:themeColor="accent1" w:themeShade="BF"/>
    </w:rPr>
  </w:style>
  <w:style w:type="character" w:styleId="IntenseReference">
    <w:name w:val="Intense Reference"/>
    <w:basedOn w:val="DefaultParagraphFont"/>
    <w:uiPriority w:val="32"/>
    <w:qFormat/>
    <w:rsid w:val="002E2B85"/>
    <w:rPr>
      <w:b/>
      <w:bCs/>
      <w:smallCaps/>
      <w:color w:val="0F4761" w:themeColor="accent1" w:themeShade="BF"/>
      <w:spacing w:val="5"/>
    </w:rPr>
  </w:style>
  <w:style w:type="character" w:styleId="Hyperlink">
    <w:name w:val="Hyperlink"/>
    <w:basedOn w:val="DefaultParagraphFont"/>
    <w:uiPriority w:val="99"/>
    <w:unhideWhenUsed/>
    <w:rsid w:val="002E2B85"/>
    <w:rPr>
      <w:color w:val="467886" w:themeColor="hyperlink"/>
      <w:u w:val="single"/>
    </w:rPr>
  </w:style>
  <w:style w:type="character" w:styleId="UnresolvedMention">
    <w:name w:val="Unresolved Mention"/>
    <w:basedOn w:val="DefaultParagraphFont"/>
    <w:uiPriority w:val="99"/>
    <w:semiHidden/>
    <w:unhideWhenUsed/>
    <w:rsid w:val="002E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21131">
      <w:bodyDiv w:val="1"/>
      <w:marLeft w:val="0"/>
      <w:marRight w:val="0"/>
      <w:marTop w:val="0"/>
      <w:marBottom w:val="0"/>
      <w:divBdr>
        <w:top w:val="none" w:sz="0" w:space="0" w:color="auto"/>
        <w:left w:val="none" w:sz="0" w:space="0" w:color="auto"/>
        <w:bottom w:val="none" w:sz="0" w:space="0" w:color="auto"/>
        <w:right w:val="none" w:sz="0" w:space="0" w:color="auto"/>
      </w:divBdr>
    </w:div>
    <w:div w:id="17974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bimix.se" TargetMode="External"/><Relationship Id="rId5" Type="http://schemas.openxmlformats.org/officeDocument/2006/relationships/hyperlink" Target="mailto:info@combimi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4075</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Igo</dc:creator>
  <cp:keywords/>
  <dc:description/>
  <cp:lastModifiedBy>Garrett Igo</cp:lastModifiedBy>
  <cp:revision>5</cp:revision>
  <dcterms:created xsi:type="dcterms:W3CDTF">2025-08-13T20:07:00Z</dcterms:created>
  <dcterms:modified xsi:type="dcterms:W3CDTF">2025-08-19T19:01:00Z</dcterms:modified>
</cp:coreProperties>
</file>